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59" w:rsidRDefault="00B54E59" w:rsidP="00B54E59">
      <w:pPr>
        <w:rPr>
          <w:rFonts w:ascii="Times New Roman" w:hAnsi="Times New Roman"/>
        </w:rPr>
      </w:pPr>
    </w:p>
    <w:p w:rsidR="00337843" w:rsidRPr="00337843" w:rsidRDefault="00337843" w:rsidP="00337843">
      <w:pPr>
        <w:pStyle w:val="Titolo"/>
        <w:rPr>
          <w:color w:val="auto"/>
        </w:rPr>
      </w:pPr>
    </w:p>
    <w:p w:rsidR="00337843" w:rsidRPr="00337843" w:rsidRDefault="00337843" w:rsidP="00337843">
      <w:pPr>
        <w:pStyle w:val="Titolo"/>
        <w:rPr>
          <w:color w:val="auto"/>
        </w:rPr>
      </w:pPr>
      <w:r w:rsidRPr="00337843">
        <w:rPr>
          <w:color w:val="auto"/>
        </w:rPr>
        <w:t xml:space="preserve">RELAZIONE DELLA COMMISSIONE PARITETICA DOCENTI-STUDENTI </w:t>
      </w:r>
    </w:p>
    <w:p w:rsidR="00337843" w:rsidRP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Classe </w:t>
      </w:r>
    </w:p>
    <w:p w:rsidR="00337843" w:rsidRPr="00337843" w:rsidRDefault="00337843" w:rsidP="0033784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337843">
        <w:rPr>
          <w:rFonts w:asciiTheme="majorHAnsi" w:hAnsiTheme="majorHAnsi"/>
        </w:rPr>
        <w:t>Lettere e Filosofia</w:t>
      </w:r>
    </w:p>
    <w:p w:rsidR="00337843" w:rsidRDefault="009E7B2E" w:rsidP="0033784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Scienze</w:t>
      </w:r>
    </w:p>
    <w:p w:rsidR="009E7B2E" w:rsidRPr="009E7B2E" w:rsidRDefault="009E7B2E" w:rsidP="009E7B2E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9E7B2E">
        <w:rPr>
          <w:rFonts w:asciiTheme="majorHAnsi" w:hAnsiTheme="majorHAnsi"/>
        </w:rPr>
        <w:t>Dipartimento di Scienze politico-sociali</w:t>
      </w:r>
    </w:p>
    <w:p w:rsidR="009E7B2E" w:rsidRPr="009E7B2E" w:rsidRDefault="009E7B2E" w:rsidP="009E7B2E">
      <w:pPr>
        <w:pStyle w:val="Paragrafoelenco"/>
        <w:ind w:left="1495"/>
        <w:rPr>
          <w:rFonts w:asciiTheme="majorHAnsi" w:hAnsiTheme="majorHAnsi"/>
        </w:rPr>
      </w:pPr>
    </w:p>
    <w:p w:rsidR="00337843" w:rsidRPr="00337843" w:rsidRDefault="00337843" w:rsidP="00B54E59">
      <w:pPr>
        <w:rPr>
          <w:rFonts w:asciiTheme="majorHAnsi" w:hAnsiTheme="majorHAnsi"/>
        </w:rPr>
      </w:pPr>
    </w:p>
    <w:p w:rsidR="00337843" w:rsidRPr="009E7B2E" w:rsidRDefault="00796A50" w:rsidP="00B54E59">
      <w:pPr>
        <w:rPr>
          <w:rFonts w:asciiTheme="majorHAnsi" w:hAnsiTheme="majorHAnsi"/>
        </w:rPr>
      </w:pPr>
      <w:r w:rsidRPr="009E7B2E">
        <w:rPr>
          <w:rFonts w:asciiTheme="majorHAnsi" w:hAnsiTheme="majorHAnsi"/>
        </w:rPr>
        <w:t>Composizione</w:t>
      </w:r>
    </w:p>
    <w:p w:rsidR="00796A50" w:rsidRDefault="00796A50" w:rsidP="00796A50">
      <w:pPr>
        <w:pStyle w:val="Intestazione"/>
        <w:tabs>
          <w:tab w:val="clear" w:pos="4819"/>
          <w:tab w:val="clear" w:pos="9638"/>
          <w:tab w:val="left" w:pos="2552"/>
          <w:tab w:val="left" w:pos="6379"/>
        </w:tabs>
        <w:rPr>
          <w:rFonts w:ascii="Calibri" w:hAnsi="Calibri"/>
        </w:rPr>
      </w:pPr>
    </w:p>
    <w:p w:rsidR="009E7B2E" w:rsidRPr="009E7B2E" w:rsidRDefault="009E7B2E" w:rsidP="009E7B2E">
      <w:pPr>
        <w:rPr>
          <w:rFonts w:asciiTheme="majorHAnsi" w:hAnsiTheme="maj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15"/>
        <w:gridCol w:w="2693"/>
        <w:gridCol w:w="2337"/>
      </w:tblGrid>
      <w:tr w:rsidR="009E7B2E" w:rsidRPr="009E7B2E" w:rsidTr="00AB018A">
        <w:trPr>
          <w:trHeight w:val="303"/>
          <w:jc w:val="center"/>
        </w:trPr>
        <w:tc>
          <w:tcPr>
            <w:tcW w:w="3615" w:type="dxa"/>
          </w:tcPr>
          <w:p w:rsidR="009E7B2E" w:rsidRPr="009E7B2E" w:rsidRDefault="009E7B2E" w:rsidP="009E7B2E">
            <w:pPr>
              <w:rPr>
                <w:rFonts w:asciiTheme="majorHAnsi" w:hAnsiTheme="majorHAnsi"/>
                <w:b/>
              </w:rPr>
            </w:pPr>
            <w:r w:rsidRPr="009E7B2E">
              <w:rPr>
                <w:rFonts w:asciiTheme="majorHAnsi" w:hAnsiTheme="majorHAnsi"/>
                <w:b/>
                <w:i/>
              </w:rPr>
              <w:t>area scientifico-disciplinare SNS</w:t>
            </w:r>
          </w:p>
        </w:tc>
        <w:tc>
          <w:tcPr>
            <w:tcW w:w="2693" w:type="dxa"/>
          </w:tcPr>
          <w:p w:rsidR="009E7B2E" w:rsidRPr="009E7B2E" w:rsidRDefault="009E7B2E" w:rsidP="009E7B2E">
            <w:pPr>
              <w:rPr>
                <w:rFonts w:asciiTheme="majorHAnsi" w:hAnsiTheme="majorHAnsi"/>
                <w:b/>
              </w:rPr>
            </w:pPr>
            <w:r w:rsidRPr="009E7B2E">
              <w:rPr>
                <w:rFonts w:asciiTheme="majorHAnsi" w:hAnsiTheme="majorHAnsi"/>
                <w:b/>
                <w:i/>
              </w:rPr>
              <w:t>componente allievi</w:t>
            </w:r>
          </w:p>
        </w:tc>
        <w:tc>
          <w:tcPr>
            <w:tcW w:w="2337" w:type="dxa"/>
          </w:tcPr>
          <w:p w:rsidR="009E7B2E" w:rsidRPr="009E7B2E" w:rsidRDefault="009E7B2E" w:rsidP="009E7B2E">
            <w:pPr>
              <w:rPr>
                <w:rFonts w:asciiTheme="majorHAnsi" w:hAnsiTheme="majorHAnsi"/>
                <w:b/>
              </w:rPr>
            </w:pPr>
            <w:r w:rsidRPr="009E7B2E">
              <w:rPr>
                <w:rFonts w:asciiTheme="majorHAnsi" w:hAnsiTheme="majorHAnsi"/>
                <w:b/>
                <w:i/>
              </w:rPr>
              <w:t>componente docente</w:t>
            </w:r>
          </w:p>
        </w:tc>
      </w:tr>
      <w:tr w:rsidR="009E7B2E" w:rsidRPr="009E7B2E" w:rsidTr="00AB018A">
        <w:trPr>
          <w:trHeight w:val="286"/>
          <w:jc w:val="center"/>
        </w:trPr>
        <w:tc>
          <w:tcPr>
            <w:tcW w:w="3615" w:type="dxa"/>
          </w:tcPr>
          <w:p w:rsidR="009E7B2E" w:rsidRPr="009E7B2E" w:rsidRDefault="009E7B2E" w:rsidP="009E7B2E">
            <w:pPr>
              <w:rPr>
                <w:rFonts w:asciiTheme="majorHAnsi" w:hAnsiTheme="majorHAnsi"/>
              </w:rPr>
            </w:pPr>
            <w:r w:rsidRPr="009E7B2E">
              <w:rPr>
                <w:rFonts w:asciiTheme="majorHAnsi" w:hAnsiTheme="majorHAnsi"/>
              </w:rPr>
              <w:t>Scienza politica e sociologia</w:t>
            </w:r>
          </w:p>
        </w:tc>
        <w:tc>
          <w:tcPr>
            <w:tcW w:w="2693" w:type="dxa"/>
          </w:tcPr>
          <w:p w:rsidR="009E7B2E" w:rsidRPr="009E7B2E" w:rsidRDefault="009E7B2E" w:rsidP="009E7B2E">
            <w:pPr>
              <w:rPr>
                <w:rFonts w:asciiTheme="majorHAnsi" w:hAnsiTheme="majorHAnsi"/>
              </w:rPr>
            </w:pPr>
            <w:r w:rsidRPr="009E7B2E">
              <w:rPr>
                <w:rFonts w:asciiTheme="majorHAnsi" w:hAnsiTheme="majorHAnsi"/>
              </w:rPr>
              <w:t xml:space="preserve">Jacopo CUSTODI </w:t>
            </w:r>
          </w:p>
        </w:tc>
        <w:tc>
          <w:tcPr>
            <w:tcW w:w="2337" w:type="dxa"/>
          </w:tcPr>
          <w:p w:rsidR="009E7B2E" w:rsidRPr="009E7B2E" w:rsidRDefault="009E7B2E" w:rsidP="009E7B2E">
            <w:pPr>
              <w:rPr>
                <w:rFonts w:asciiTheme="majorHAnsi" w:hAnsiTheme="majorHAnsi"/>
              </w:rPr>
            </w:pPr>
            <w:proofErr w:type="spellStart"/>
            <w:r w:rsidRPr="009E7B2E">
              <w:rPr>
                <w:rFonts w:asciiTheme="majorHAnsi" w:hAnsiTheme="majorHAnsi"/>
              </w:rPr>
              <w:t>Benoît</w:t>
            </w:r>
            <w:proofErr w:type="spellEnd"/>
            <w:r w:rsidRPr="009E7B2E">
              <w:rPr>
                <w:rFonts w:asciiTheme="majorHAnsi" w:hAnsiTheme="majorHAnsi"/>
              </w:rPr>
              <w:t xml:space="preserve"> CHALLAND</w:t>
            </w:r>
          </w:p>
        </w:tc>
      </w:tr>
      <w:tr w:rsidR="009E7B2E" w:rsidRPr="009E7B2E" w:rsidTr="00AB018A">
        <w:trPr>
          <w:trHeight w:val="303"/>
          <w:jc w:val="center"/>
        </w:trPr>
        <w:tc>
          <w:tcPr>
            <w:tcW w:w="3615" w:type="dxa"/>
          </w:tcPr>
          <w:p w:rsidR="009E7B2E" w:rsidRPr="009E7B2E" w:rsidRDefault="009E7B2E" w:rsidP="009E7B2E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E7B2E" w:rsidRPr="009E7B2E" w:rsidRDefault="009E7B2E" w:rsidP="009E7B2E">
            <w:pPr>
              <w:rPr>
                <w:rFonts w:asciiTheme="majorHAnsi" w:hAnsiTheme="majorHAnsi"/>
              </w:rPr>
            </w:pPr>
            <w:r w:rsidRPr="009E7B2E">
              <w:rPr>
                <w:rFonts w:asciiTheme="majorHAnsi" w:hAnsiTheme="majorHAnsi"/>
              </w:rPr>
              <w:t>Emanuele NEBBIA COLOMBA</w:t>
            </w:r>
          </w:p>
        </w:tc>
        <w:tc>
          <w:tcPr>
            <w:tcW w:w="2337" w:type="dxa"/>
          </w:tcPr>
          <w:p w:rsidR="009E7B2E" w:rsidRPr="009E7B2E" w:rsidRDefault="009E7B2E" w:rsidP="009E7B2E">
            <w:pPr>
              <w:rPr>
                <w:rFonts w:asciiTheme="majorHAnsi" w:hAnsiTheme="majorHAnsi"/>
              </w:rPr>
            </w:pPr>
            <w:r w:rsidRPr="009E7B2E">
              <w:rPr>
                <w:rFonts w:asciiTheme="majorHAnsi" w:hAnsiTheme="majorHAnsi"/>
              </w:rPr>
              <w:t>Manuela MOSCHELLA</w:t>
            </w:r>
          </w:p>
        </w:tc>
      </w:tr>
    </w:tbl>
    <w:p w:rsidR="009E7B2E" w:rsidRPr="009E7B2E" w:rsidRDefault="009E7B2E" w:rsidP="009E7B2E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337843" w:rsidP="00B54E59">
      <w:pPr>
        <w:rPr>
          <w:rFonts w:asciiTheme="majorHAnsi" w:hAnsiTheme="majorHAnsi"/>
        </w:rPr>
      </w:pPr>
    </w:p>
    <w:p w:rsidR="00337843" w:rsidRDefault="00796A50" w:rsidP="00B54E59">
      <w:pPr>
        <w:rPr>
          <w:rFonts w:asciiTheme="majorHAnsi" w:hAnsiTheme="majorHAnsi"/>
        </w:rPr>
      </w:pPr>
      <w:r>
        <w:rPr>
          <w:rFonts w:asciiTheme="majorHAnsi" w:hAnsiTheme="majorHAnsi"/>
        </w:rPr>
        <w:t>Firenze, 14 febbraio 2019</w:t>
      </w:r>
      <w:r w:rsidR="00337843">
        <w:rPr>
          <w:rFonts w:asciiTheme="majorHAnsi" w:hAnsiTheme="majorHAnsi"/>
        </w:rPr>
        <w:t xml:space="preserve"> </w:t>
      </w:r>
    </w:p>
    <w:p w:rsidR="00337843" w:rsidRDefault="00337843" w:rsidP="00337843">
      <w:pPr>
        <w:jc w:val="right"/>
        <w:rPr>
          <w:rFonts w:asciiTheme="majorHAnsi" w:hAnsiTheme="majorHAnsi"/>
        </w:rPr>
      </w:pPr>
      <w:r w:rsidRPr="00337843">
        <w:rPr>
          <w:rFonts w:asciiTheme="majorHAnsi" w:hAnsiTheme="majorHAnsi"/>
        </w:rPr>
        <w:t>Il Presidente della CP</w:t>
      </w:r>
    </w:p>
    <w:p w:rsidR="009E7B2E" w:rsidRDefault="009E7B2E" w:rsidP="0033784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Prof.ssa Manuela Moschella</w:t>
      </w:r>
    </w:p>
    <w:p w:rsidR="00337843" w:rsidRDefault="0033784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A6F8A" w:rsidRDefault="001A6F8A" w:rsidP="001A6F8A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MONITORAGGIO DELL’OFFERTA FORMATIVA</w:t>
      </w:r>
    </w:p>
    <w:p w:rsidR="001A6F8A" w:rsidRDefault="001A6F8A" w:rsidP="001A6F8A">
      <w:pPr>
        <w:pStyle w:val="Paragrafoelenco"/>
        <w:rPr>
          <w:rFonts w:asciiTheme="majorHAnsi" w:hAnsiTheme="majorHAnsi"/>
        </w:rPr>
      </w:pPr>
    </w:p>
    <w:p w:rsidR="008D05D5" w:rsidRDefault="004B0D16" w:rsidP="004B0D16">
      <w:pPr>
        <w:pStyle w:val="Paragrafoelenc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Come previsto dall’art. 6 del Regolamento dida</w:t>
      </w:r>
      <w:bookmarkStart w:id="0" w:name="_GoBack"/>
      <w:bookmarkEnd w:id="0"/>
      <w:r>
        <w:rPr>
          <w:rFonts w:asciiTheme="majorHAnsi" w:hAnsiTheme="majorHAnsi"/>
        </w:rPr>
        <w:t xml:space="preserve">ttico della Scuola, la Commissione propone il proprio coinvolgimento nell’ambito della programmazione delle attività didattiche. Il parere della Commissione, dovrebbe tenere conto dell’andamento </w:t>
      </w:r>
      <w:r w:rsidRPr="004B0D16">
        <w:rPr>
          <w:rFonts w:asciiTheme="majorHAnsi" w:hAnsiTheme="majorHAnsi"/>
        </w:rPr>
        <w:t>delle attività formative degli anni precedenti, dei risultati della valutazione della qualità</w:t>
      </w:r>
      <w:r>
        <w:rPr>
          <w:rFonts w:asciiTheme="majorHAnsi" w:hAnsiTheme="majorHAnsi"/>
        </w:rPr>
        <w:t xml:space="preserve"> della didattica. Per il parere sulla programmazione delle attività, la Commissione propone </w:t>
      </w:r>
      <w:r w:rsidR="008D05D5">
        <w:rPr>
          <w:rFonts w:asciiTheme="majorHAnsi" w:hAnsiTheme="majorHAnsi"/>
        </w:rPr>
        <w:t xml:space="preserve">di calendarizzare almeno due incontri all’anno, di cui uno nel mese di aprile, al fine di raccogliere, attraverso </w:t>
      </w:r>
      <w:r>
        <w:rPr>
          <w:rFonts w:asciiTheme="majorHAnsi" w:hAnsiTheme="majorHAnsi"/>
        </w:rPr>
        <w:t xml:space="preserve">un incontro esteso alla totalità degli allievi, </w:t>
      </w:r>
      <w:r w:rsidR="008D05D5">
        <w:rPr>
          <w:rFonts w:asciiTheme="majorHAnsi" w:hAnsiTheme="majorHAnsi"/>
        </w:rPr>
        <w:t>indicazioni sui punti di forza e debolezza dell’offerta formativa.</w:t>
      </w:r>
    </w:p>
    <w:p w:rsidR="009C24F4" w:rsidRDefault="009C24F4" w:rsidP="009C24F4">
      <w:pPr>
        <w:pStyle w:val="Paragrafoelenco"/>
        <w:rPr>
          <w:rFonts w:asciiTheme="majorHAnsi" w:hAnsiTheme="majorHAnsi"/>
        </w:rPr>
      </w:pPr>
    </w:p>
    <w:p w:rsidR="001A6F8A" w:rsidRDefault="001A6F8A" w:rsidP="001A6F8A">
      <w:pPr>
        <w:pStyle w:val="Paragrafoelenco"/>
        <w:rPr>
          <w:rFonts w:asciiTheme="majorHAnsi" w:hAnsiTheme="majorHAnsi"/>
        </w:rPr>
      </w:pPr>
    </w:p>
    <w:p w:rsidR="001A6F8A" w:rsidRDefault="001A6F8A" w:rsidP="001A6F8A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1A6F8A">
        <w:rPr>
          <w:rFonts w:asciiTheme="majorHAnsi" w:hAnsiTheme="majorHAnsi"/>
        </w:rPr>
        <w:t>MONITORAGGIO DELLA QUALITÁ DELLA DIDATTICA</w:t>
      </w:r>
    </w:p>
    <w:p w:rsidR="009C24F4" w:rsidRDefault="009C24F4" w:rsidP="009C24F4">
      <w:pPr>
        <w:pStyle w:val="Paragrafoelenco"/>
        <w:rPr>
          <w:rFonts w:asciiTheme="majorHAnsi" w:hAnsiTheme="majorHAnsi"/>
        </w:rPr>
      </w:pPr>
    </w:p>
    <w:p w:rsidR="009C24F4" w:rsidRDefault="004B0D16" w:rsidP="007E0F9A">
      <w:pPr>
        <w:pStyle w:val="Paragrafoelenc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Commissione propone di non attivare ulteriori strumenti per il monitoraggio della qualità della didattica, ma una sostanziale revisione e potenziamento del questionario già presente, tenendo conto delle seguenti indicazioni:</w:t>
      </w:r>
    </w:p>
    <w:p w:rsidR="004B0D16" w:rsidRDefault="004B0D16" w:rsidP="007E0F9A">
      <w:pPr>
        <w:pStyle w:val="Paragrafoelenco"/>
        <w:jc w:val="both"/>
        <w:rPr>
          <w:rFonts w:asciiTheme="majorHAnsi" w:hAnsiTheme="majorHAnsi"/>
        </w:rPr>
      </w:pPr>
    </w:p>
    <w:p w:rsidR="004B0D16" w:rsidRDefault="004B0D16" w:rsidP="007E0F9A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questionario dovrebbe essere somministrato agli allievi subito dopo la fine di ciascun corso anziché l’anno successivo in sede di compilazione del piano di studi</w:t>
      </w:r>
      <w:r w:rsidR="00D244A4">
        <w:rPr>
          <w:rFonts w:asciiTheme="majorHAnsi" w:hAnsiTheme="majorHAnsi"/>
        </w:rPr>
        <w:t xml:space="preserve"> </w:t>
      </w:r>
    </w:p>
    <w:p w:rsidR="00D244A4" w:rsidRDefault="00D244A4" w:rsidP="007E0F9A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Unificazione dei questionari per i perfezionandi e gli allievi del corso ordinario</w:t>
      </w:r>
    </w:p>
    <w:p w:rsidR="004B0D16" w:rsidRDefault="00D244A4" w:rsidP="007E0F9A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D244A4">
        <w:rPr>
          <w:rFonts w:asciiTheme="majorHAnsi" w:hAnsiTheme="majorHAnsi"/>
        </w:rPr>
        <w:t>Possibilità di inserire una mancata risposta o “non so”</w:t>
      </w:r>
      <w:r>
        <w:rPr>
          <w:rFonts w:asciiTheme="majorHAnsi" w:hAnsiTheme="majorHAnsi"/>
        </w:rPr>
        <w:t>/”non previsto”</w:t>
      </w:r>
      <w:r w:rsidRPr="00D244A4">
        <w:rPr>
          <w:rFonts w:asciiTheme="majorHAnsi" w:hAnsiTheme="majorHAnsi"/>
        </w:rPr>
        <w:t xml:space="preserve">, soprattutto nella parte relativa </w:t>
      </w:r>
      <w:r>
        <w:rPr>
          <w:rFonts w:asciiTheme="majorHAnsi" w:hAnsiTheme="majorHAnsi"/>
        </w:rPr>
        <w:t>a “laboratori ed esercitazioni”</w:t>
      </w:r>
    </w:p>
    <w:p w:rsidR="00D244A4" w:rsidRDefault="00D244A4" w:rsidP="007E0F9A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Semplificare e ridurre il numero di domande alle quali rispondere. Per un allievo che ha seguito 10 corsi nell’anno accademico di riferimento, il questionario comporta la risposta a 170 domande.</w:t>
      </w:r>
    </w:p>
    <w:p w:rsidR="00D244A4" w:rsidRDefault="00D244A4" w:rsidP="00D244A4">
      <w:pPr>
        <w:rPr>
          <w:rFonts w:asciiTheme="majorHAnsi" w:hAnsiTheme="majorHAnsi"/>
        </w:rPr>
      </w:pPr>
    </w:p>
    <w:p w:rsidR="009C24F4" w:rsidRDefault="009C24F4" w:rsidP="009C24F4">
      <w:pPr>
        <w:pStyle w:val="Paragrafoelenco"/>
        <w:rPr>
          <w:rFonts w:asciiTheme="majorHAnsi" w:hAnsiTheme="majorHAnsi"/>
        </w:rPr>
      </w:pPr>
    </w:p>
    <w:p w:rsidR="001A6F8A" w:rsidRDefault="001A6F8A" w:rsidP="001A6F8A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ANALISI DELLA QUALITÁ DEL SERVIZIO A</w:t>
      </w:r>
      <w:r w:rsidR="00973DDF">
        <w:rPr>
          <w:rFonts w:asciiTheme="majorHAnsi" w:hAnsiTheme="majorHAnsi"/>
        </w:rPr>
        <w:t>G</w:t>
      </w:r>
      <w:r>
        <w:rPr>
          <w:rFonts w:asciiTheme="majorHAnsi" w:hAnsiTheme="majorHAnsi"/>
        </w:rPr>
        <w:t>LI STUDENTI OFFERTO DA DOCENTI E RICERCATORI</w:t>
      </w:r>
    </w:p>
    <w:p w:rsidR="006843E9" w:rsidRDefault="006843E9" w:rsidP="006843E9">
      <w:pPr>
        <w:pStyle w:val="Paragrafoelenco"/>
        <w:rPr>
          <w:rFonts w:asciiTheme="majorHAnsi" w:hAnsiTheme="majorHAnsi"/>
        </w:rPr>
      </w:pPr>
    </w:p>
    <w:p w:rsidR="00BA6172" w:rsidRPr="00BA6172" w:rsidRDefault="00BA6172" w:rsidP="007E0F9A">
      <w:pPr>
        <w:pStyle w:val="Paragrafoelenco"/>
        <w:jc w:val="both"/>
        <w:rPr>
          <w:rFonts w:asciiTheme="majorHAnsi" w:hAnsiTheme="majorHAnsi"/>
        </w:rPr>
      </w:pPr>
      <w:r w:rsidRPr="00BA6172">
        <w:rPr>
          <w:rFonts w:asciiTheme="majorHAnsi" w:hAnsiTheme="majorHAnsi"/>
        </w:rPr>
        <w:t xml:space="preserve">Emerge di particolare importanza </w:t>
      </w:r>
      <w:r>
        <w:rPr>
          <w:rFonts w:asciiTheme="majorHAnsi" w:hAnsiTheme="majorHAnsi"/>
        </w:rPr>
        <w:t xml:space="preserve">l’esigenza di </w:t>
      </w:r>
      <w:r w:rsidRPr="00BA6172">
        <w:rPr>
          <w:rFonts w:asciiTheme="majorHAnsi" w:hAnsiTheme="majorHAnsi"/>
        </w:rPr>
        <w:t xml:space="preserve">una discussione interna al corpo docente e </w:t>
      </w:r>
      <w:r>
        <w:rPr>
          <w:rFonts w:asciiTheme="majorHAnsi" w:hAnsiTheme="majorHAnsi"/>
        </w:rPr>
        <w:t>agli allievi</w:t>
      </w:r>
      <w:r w:rsidRPr="00BA6172">
        <w:rPr>
          <w:rFonts w:asciiTheme="majorHAnsi" w:hAnsiTheme="majorHAnsi"/>
        </w:rPr>
        <w:t xml:space="preserve"> sulla piattaforma “</w:t>
      </w:r>
      <w:proofErr w:type="spellStart"/>
      <w:r w:rsidRPr="00BA6172">
        <w:rPr>
          <w:rFonts w:asciiTheme="majorHAnsi" w:hAnsiTheme="majorHAnsi"/>
        </w:rPr>
        <w:t>Moodle</w:t>
      </w:r>
      <w:proofErr w:type="spellEnd"/>
      <w:r w:rsidRPr="00BA6172">
        <w:rPr>
          <w:rFonts w:asciiTheme="majorHAnsi" w:hAnsiTheme="majorHAnsi"/>
        </w:rPr>
        <w:t xml:space="preserve">” come sistema di supporto alla didattica. </w:t>
      </w:r>
    </w:p>
    <w:p w:rsidR="0090042F" w:rsidRPr="008D05D5" w:rsidRDefault="0090042F" w:rsidP="007E0F9A">
      <w:pPr>
        <w:pStyle w:val="Paragrafoelenco"/>
        <w:jc w:val="both"/>
        <w:rPr>
          <w:rFonts w:asciiTheme="majorHAnsi" w:hAnsiTheme="majorHAnsi"/>
        </w:rPr>
      </w:pPr>
    </w:p>
    <w:p w:rsidR="008D05D5" w:rsidRDefault="0090042F" w:rsidP="007E0F9A">
      <w:pPr>
        <w:pStyle w:val="Paragrafoelenco"/>
        <w:jc w:val="both"/>
        <w:rPr>
          <w:rFonts w:asciiTheme="majorHAnsi" w:hAnsiTheme="majorHAnsi"/>
        </w:rPr>
      </w:pPr>
      <w:r w:rsidRPr="0090042F">
        <w:rPr>
          <w:rFonts w:asciiTheme="majorHAnsi" w:hAnsiTheme="majorHAnsi"/>
        </w:rPr>
        <w:t xml:space="preserve">Presso il Dipartimento è </w:t>
      </w:r>
      <w:r w:rsidR="008D05D5">
        <w:rPr>
          <w:rFonts w:asciiTheme="majorHAnsi" w:hAnsiTheme="majorHAnsi"/>
        </w:rPr>
        <w:t xml:space="preserve">già </w:t>
      </w:r>
      <w:r w:rsidRPr="0090042F">
        <w:rPr>
          <w:rFonts w:asciiTheme="majorHAnsi" w:hAnsiTheme="majorHAnsi"/>
        </w:rPr>
        <w:t xml:space="preserve">prevista la figura del Graduate </w:t>
      </w:r>
      <w:proofErr w:type="spellStart"/>
      <w:r w:rsidRPr="0090042F">
        <w:rPr>
          <w:rFonts w:asciiTheme="majorHAnsi" w:hAnsiTheme="majorHAnsi"/>
        </w:rPr>
        <w:t>Student</w:t>
      </w:r>
      <w:proofErr w:type="spellEnd"/>
      <w:r w:rsidRPr="0090042F">
        <w:rPr>
          <w:rFonts w:asciiTheme="majorHAnsi" w:hAnsiTheme="majorHAnsi"/>
        </w:rPr>
        <w:t xml:space="preserve"> Advisor</w:t>
      </w:r>
      <w:r>
        <w:rPr>
          <w:rFonts w:asciiTheme="majorHAnsi" w:hAnsiTheme="majorHAnsi"/>
        </w:rPr>
        <w:t xml:space="preserve">, cui gli allievi </w:t>
      </w:r>
      <w:r w:rsidR="008D05D5">
        <w:rPr>
          <w:rFonts w:asciiTheme="majorHAnsi" w:hAnsiTheme="majorHAnsi"/>
        </w:rPr>
        <w:t xml:space="preserve">dei corsi di perfezionamento </w:t>
      </w:r>
      <w:r>
        <w:rPr>
          <w:rFonts w:asciiTheme="majorHAnsi" w:hAnsiTheme="majorHAnsi"/>
        </w:rPr>
        <w:t xml:space="preserve">possono rivolgersi </w:t>
      </w:r>
      <w:r w:rsidR="008D05D5">
        <w:rPr>
          <w:rFonts w:asciiTheme="majorHAnsi" w:hAnsiTheme="majorHAnsi"/>
        </w:rPr>
        <w:t xml:space="preserve">per veicolare mancanze </w:t>
      </w:r>
      <w:r w:rsidR="00B96C15">
        <w:rPr>
          <w:rFonts w:asciiTheme="majorHAnsi" w:hAnsiTheme="majorHAnsi"/>
        </w:rPr>
        <w:t xml:space="preserve">o </w:t>
      </w:r>
      <w:r w:rsidR="008D05D5">
        <w:rPr>
          <w:rFonts w:asciiTheme="majorHAnsi" w:hAnsiTheme="majorHAnsi"/>
        </w:rPr>
        <w:t>problematiche nella relazione con il proprio supervisor. La Commissione propone che gli allievi del corso ordinario possano fare riferimento alla medesima figura.</w:t>
      </w:r>
    </w:p>
    <w:p w:rsidR="006843E9" w:rsidRPr="00B96C15" w:rsidRDefault="006843E9" w:rsidP="006843E9">
      <w:pPr>
        <w:pStyle w:val="Paragrafoelenco"/>
        <w:rPr>
          <w:rFonts w:asciiTheme="majorHAnsi" w:hAnsiTheme="majorHAnsi"/>
        </w:rPr>
      </w:pPr>
    </w:p>
    <w:p w:rsidR="006843E9" w:rsidRPr="002E0051" w:rsidRDefault="006843E9" w:rsidP="006843E9">
      <w:pPr>
        <w:pStyle w:val="Paragrafoelenco"/>
        <w:rPr>
          <w:rFonts w:asciiTheme="majorHAnsi" w:hAnsiTheme="majorHAnsi"/>
          <w:i/>
        </w:rPr>
      </w:pPr>
    </w:p>
    <w:sectPr w:rsidR="006843E9" w:rsidRPr="002E00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31" w:right="1410" w:bottom="2127" w:left="840" w:header="727" w:footer="9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6D" w:rsidRDefault="0056766D">
      <w:r>
        <w:separator/>
      </w:r>
    </w:p>
  </w:endnote>
  <w:endnote w:type="continuationSeparator" w:id="0">
    <w:p w:rsidR="0056766D" w:rsidRDefault="005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Pl-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59" w:rsidRDefault="00B54E59">
    <w:pPr>
      <w:pStyle w:val="Pidipagina"/>
      <w:ind w:right="-5245"/>
      <w:rPr>
        <w:rFonts w:ascii="Times" w:hAnsi="Times" w:cs="Time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59" w:rsidRDefault="006E5065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  <w:r>
      <w:rPr>
        <w:rFonts w:ascii="Times" w:hAnsi="Times"/>
        <w:noProof/>
        <w:sz w:val="16"/>
      </w:rPr>
      <w:drawing>
        <wp:inline distT="0" distB="0" distL="0" distR="0">
          <wp:extent cx="561975" cy="47625"/>
          <wp:effectExtent l="0" t="0" r="9525" b="9525"/>
          <wp:docPr id="2" name="Immagine 2" descr="linea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a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E59" w:rsidRDefault="00B54E59">
    <w:pPr>
      <w:pStyle w:val="Pidipagina"/>
      <w:rPr>
        <w:rFonts w:ascii="Times" w:hAnsi="Times"/>
        <w:sz w:val="16"/>
      </w:rPr>
    </w:pPr>
  </w:p>
  <w:p w:rsidR="00B54E59" w:rsidRDefault="00B54E59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P</w:t>
    </w:r>
    <w:r w:rsidR="00796A50">
      <w:rPr>
        <w:rFonts w:ascii="Times" w:hAnsi="Times"/>
        <w:sz w:val="16"/>
      </w:rPr>
      <w:t>alazzo Strozzi</w:t>
    </w:r>
  </w:p>
  <w:p w:rsidR="00B54E59" w:rsidRDefault="00796A50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50123 Firenze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6D" w:rsidRDefault="0056766D">
      <w:r>
        <w:separator/>
      </w:r>
    </w:p>
  </w:footnote>
  <w:footnote w:type="continuationSeparator" w:id="0">
    <w:p w:rsidR="0056766D" w:rsidRDefault="0056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59" w:rsidRDefault="006E5065">
    <w:pPr>
      <w:pStyle w:val="Intestazione"/>
      <w:tabs>
        <w:tab w:val="clear" w:pos="4819"/>
        <w:tab w:val="clear" w:pos="9638"/>
      </w:tabs>
      <w:spacing w:line="120" w:lineRule="auto"/>
      <w:ind w:right="-9215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112395</wp:posOffset>
          </wp:positionV>
          <wp:extent cx="165100" cy="1824990"/>
          <wp:effectExtent l="0" t="0" r="6350" b="3810"/>
          <wp:wrapNone/>
          <wp:docPr id="3" name="Immagine 1" descr="per secondo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 secondo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14"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59" w:rsidRDefault="006E5065">
    <w:pPr>
      <w:pStyle w:val="Intestazione"/>
    </w:pPr>
    <w:r>
      <w:rPr>
        <w:noProof/>
      </w:rPr>
      <w:drawing>
        <wp:inline distT="0" distB="0" distL="0" distR="0">
          <wp:extent cx="695325" cy="981075"/>
          <wp:effectExtent l="0" t="0" r="9525" b="9525"/>
          <wp:docPr id="1" name="Immagine 7" descr="DATI_1:carta intestata:logsn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ATI_1:carta intestata:logsn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FCD"/>
    <w:multiLevelType w:val="hybridMultilevel"/>
    <w:tmpl w:val="CDDE7846"/>
    <w:lvl w:ilvl="0" w:tplc="CC428C9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D217F2E"/>
    <w:multiLevelType w:val="hybridMultilevel"/>
    <w:tmpl w:val="AD181CF4"/>
    <w:lvl w:ilvl="0" w:tplc="147E9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4E7E"/>
    <w:multiLevelType w:val="hybridMultilevel"/>
    <w:tmpl w:val="EC9CDC2C"/>
    <w:lvl w:ilvl="0" w:tplc="CC428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31EB4"/>
    <w:multiLevelType w:val="hybridMultilevel"/>
    <w:tmpl w:val="10F623A6"/>
    <w:lvl w:ilvl="0" w:tplc="9F947018">
      <w:start w:val="1"/>
      <w:numFmt w:val="bullet"/>
      <w:lvlText w:val="▪"/>
      <w:lvlJc w:val="left"/>
      <w:pPr>
        <w:ind w:left="1495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5FA"/>
    <w:multiLevelType w:val="hybridMultilevel"/>
    <w:tmpl w:val="EC029A50"/>
    <w:lvl w:ilvl="0" w:tplc="6018E348">
      <w:start w:val="1"/>
      <w:numFmt w:val="bullet"/>
      <w:lvlText w:val="□"/>
      <w:lvlJc w:val="left"/>
      <w:pPr>
        <w:ind w:left="1495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65"/>
    <w:rsid w:val="001A6F8A"/>
    <w:rsid w:val="00237FC9"/>
    <w:rsid w:val="002E0051"/>
    <w:rsid w:val="00337843"/>
    <w:rsid w:val="00381B9B"/>
    <w:rsid w:val="004B0D16"/>
    <w:rsid w:val="0056766D"/>
    <w:rsid w:val="005D2D64"/>
    <w:rsid w:val="006843E9"/>
    <w:rsid w:val="006E5065"/>
    <w:rsid w:val="00704485"/>
    <w:rsid w:val="00722443"/>
    <w:rsid w:val="00796A50"/>
    <w:rsid w:val="007E0F9A"/>
    <w:rsid w:val="007E3290"/>
    <w:rsid w:val="00813F15"/>
    <w:rsid w:val="008A048F"/>
    <w:rsid w:val="008D05D5"/>
    <w:rsid w:val="0090042F"/>
    <w:rsid w:val="009332B8"/>
    <w:rsid w:val="00973DDF"/>
    <w:rsid w:val="009C24F4"/>
    <w:rsid w:val="009E7B2E"/>
    <w:rsid w:val="00A811CE"/>
    <w:rsid w:val="00B25F39"/>
    <w:rsid w:val="00B54E59"/>
    <w:rsid w:val="00B94606"/>
    <w:rsid w:val="00B96C15"/>
    <w:rsid w:val="00BA3B8B"/>
    <w:rsid w:val="00BA6172"/>
    <w:rsid w:val="00BB02E7"/>
    <w:rsid w:val="00C57446"/>
    <w:rsid w:val="00D244A4"/>
    <w:rsid w:val="00E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84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78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37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33784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A50"/>
    <w:rPr>
      <w:rFonts w:ascii="TradeGothicPl-CondEighteen" w:hAnsi="TradeGothicPl-CondEighteen"/>
      <w:sz w:val="24"/>
      <w:szCs w:val="24"/>
    </w:rPr>
  </w:style>
  <w:style w:type="table" w:styleId="Grigliatabella">
    <w:name w:val="Table Grid"/>
    <w:basedOn w:val="Tabellanormale"/>
    <w:uiPriority w:val="59"/>
    <w:rsid w:val="009E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84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78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37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33784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A50"/>
    <w:rPr>
      <w:rFonts w:ascii="TradeGothicPl-CondEighteen" w:hAnsi="TradeGothicPl-CondEighteen"/>
      <w:sz w:val="24"/>
      <w:szCs w:val="24"/>
    </w:rPr>
  </w:style>
  <w:style w:type="table" w:styleId="Grigliatabella">
    <w:name w:val="Table Grid"/>
    <w:basedOn w:val="Tabellanormale"/>
    <w:uiPriority w:val="59"/>
    <w:rsid w:val="009E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~1.ZAP\AppData\Local\Tem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carta_intestata.dot</Template>
  <TotalTime>3</TotalTime>
  <Pages>2</Pages>
  <Words>349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Asd</vt:lpstr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</dc:title>
  <dc:creator>Silvia Zappulla</dc:creator>
  <cp:lastModifiedBy>Silvia Zappulla</cp:lastModifiedBy>
  <cp:revision>3</cp:revision>
  <cp:lastPrinted>2006-01-30T12:51:00Z</cp:lastPrinted>
  <dcterms:created xsi:type="dcterms:W3CDTF">2019-02-21T08:10:00Z</dcterms:created>
  <dcterms:modified xsi:type="dcterms:W3CDTF">2019-02-21T14:51:00Z</dcterms:modified>
</cp:coreProperties>
</file>